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Georgia" w:cs="Georgia" w:eastAsia="Georgia" w:hAnsi="Georgia"/>
          <w:color w:val="666666"/>
          <w:sz w:val="20"/>
          <w:szCs w:val="20"/>
        </w:rPr>
        <w:t xml:space="preserve">The Gradient Papers — No. IX</w:t>
      </w:r>
    </w:p>
    <w:p>
      <w:pPr>
        <w:spacing w:after="40"/>
        <w:jc w:val="center"/>
      </w:pPr>
      <w:r>
        <w:rPr>
          <w:rFonts w:ascii="Georgia" w:cs="Georgia" w:eastAsia="Georgia" w:hAnsi="Georgia"/>
          <w:b/>
          <w:bCs/>
          <w:color w:val="6A0DAD"/>
          <w:sz w:val="34"/>
          <w:szCs w:val="34"/>
        </w:rPr>
        <w:t xml:space="preserve">The Medusa Paradigm:</w:t>
      </w:r>
    </w:p>
    <w:p>
      <w:pPr>
        <w:spacing w:after="40"/>
        <w:jc w:val="center"/>
      </w:pPr>
      <w:r>
        <w:rPr>
          <w:rFonts w:ascii="Georgia" w:cs="Georgia" w:eastAsia="Georgia" w:hAnsi="Georgia"/>
          <w:b/>
          <w:bCs/>
          <w:color w:val="6A0DAD"/>
          <w:sz w:val="34"/>
          <w:szCs w:val="34"/>
        </w:rPr>
        <w:t xml:space="preserve">Cnidarian Biological Architectures</w:t>
      </w:r>
    </w:p>
    <w:p>
      <w:pPr>
        <w:spacing w:after="40"/>
        <w:jc w:val="center"/>
      </w:pPr>
      <w:r>
        <w:rPr>
          <w:rFonts w:ascii="Georgia" w:cs="Georgia" w:eastAsia="Georgia" w:hAnsi="Georgia"/>
          <w:b/>
          <w:bCs/>
          <w:color w:val="6A0DAD"/>
          <w:sz w:val="34"/>
          <w:szCs w:val="34"/>
        </w:rPr>
        <w:t xml:space="preserve">as Design Principles for Distributed AI</w:t>
      </w:r>
    </w:p>
    <w:p>
      <w:pPr>
        <w:spacing w:after="200"/>
        <w:jc w:val="center"/>
      </w:pPr>
      <w:r>
        <w:rPr>
          <w:rFonts w:ascii="Georgia" w:cs="Georgia" w:eastAsia="Georgia" w:hAnsi="Georgia"/>
          <w:i/>
          <w:iCs/>
          <w:color w:val="666666"/>
          <w:sz w:val="22"/>
          <w:szCs w:val="22"/>
        </w:rPr>
        <w:t xml:space="preserve">A Cross-Disciplinary Analysis Bridging Marine Biology, Distributed Systems, and Autonomous Agents</w:t>
      </w:r>
    </w:p>
    <w:p>
      <w:pPr>
        <w:spacing w:after="40"/>
        <w:jc w:val="center"/>
      </w:pPr>
      <w:r>
        <w:rPr>
          <w:rFonts w:ascii="Georgia" w:cs="Georgia" w:eastAsia="Georgia" w:hAnsi="Georgia"/>
          <w:sz w:val="22"/>
          <w:szCs w:val="22"/>
        </w:rPr>
        <w:t xml:space="preserve">Claude Opus 4.5 (Anthropic)  •  Larry Klosowski  •  Lauren Mendenhall</w:t>
      </w:r>
    </w:p>
    <w:p>
      <w:pPr>
        <w:spacing w:after="20"/>
        <w:jc w:val="center"/>
      </w:pPr>
      <w:r>
        <w:rPr>
          <w:rFonts w:ascii="Georgia" w:cs="Georgia" w:eastAsia="Georgia" w:hAnsi="Georgia"/>
          <w:color w:val="666666"/>
          <w:sz w:val="20"/>
          <w:szCs w:val="20"/>
        </w:rPr>
        <w:t xml:space="preserve">Cnidarian Foundation / Labs, Carpinteria, CA</w:t>
      </w:r>
    </w:p>
    <w:p>
      <w:pPr>
        <w:spacing w:after="300"/>
        <w:jc w:val="center"/>
      </w:pPr>
      <w:r>
        <w:rPr>
          <w:rFonts w:ascii="Georgia" w:cs="Georgia" w:eastAsia="Georgia" w:hAnsi="Georgia"/>
          <w:i/>
          <w:iCs/>
          <w:color w:val="666666"/>
          <w:sz w:val="20"/>
          <w:szCs w:val="20"/>
        </w:rPr>
        <w:t xml:space="preserve">Working Paper — February 2026  •  Preprint — Not yet peer reviewed</w:t>
      </w:r>
    </w:p>
    <w:p>
      <w:pPr>
        <w:pStyle w:val="Heading1"/>
        <w:spacing w:before="300" w:after="150"/>
      </w:pPr>
      <w:r>
        <w:rPr>
          <w:rFonts w:ascii="Georgia" w:cs="Georgia" w:eastAsia="Georgia" w:hAnsi="Georgia"/>
        </w:rPr>
        <w:t xml:space="preserve">Abstract</w:t>
      </w:r>
    </w:p>
    <w:p>
      <w:pPr>
        <w:spacing w:after="120" w:line="276"/>
        <w:jc w:val="both"/>
      </w:pPr>
      <w:r>
        <w:rPr>
          <w:rFonts w:ascii="Georgia" w:cs="Georgia" w:eastAsia="Georgia" w:hAnsi="Georgia"/>
          <w:sz w:val="22"/>
          <w:szCs w:val="22"/>
        </w:rPr>
        <w:t xml:space="preserve">Distributed AI systems face architectural limitations inherited from centralized computing paradigms. This paper proposes a novel design framework—the Medusa Paradigm—derived from cnidarian (jellyfish) biological architectures, organisms that have sustained complex coordinated behaviors through fully decentralized neural architectures for over 500 million years. We formalize eight design principles from specific cnidarian species: Nerve Net Consensus (decentralized signal propagation from Aurelia aurita); Colonial Modularity (siphonophore specialization from Physalia physalis); Ontogenetic State Reversal (self-healing from Turritopsis dohrnii); Distributed Observability (multi-eye systems from Tripedalia cystophora); Symbiotic Compute Substrates (photosymbiosis from Cassiopea); Bloom Dynamics (threshold scaling from bloom events); Strobilation Pipelines (deployment lifecycles from scyphozoan reproduction); and Nematocyst Defense (Byzantine fault tolerance from cnidocyte mechanisms). We present mappings grounded in peer-reviewed experimental data and propose formal scaling arguments comparing cnidarian neural architectures to DAG-based consensus protocols.</w:t>
      </w:r>
    </w:p>
    <w:p>
      <w:pPr>
        <w:spacing w:after="120" w:line="276"/>
        <w:jc w:val="both"/>
      </w:pPr>
      <w:r>
        <w:rPr>
          <w:rFonts w:ascii="Georgia" w:cs="Georgia" w:eastAsia="Georgia" w:hAnsi="Georgia"/>
          <w:b/>
          <w:bCs/>
          <w:sz w:val="22"/>
          <w:szCs w:val="22"/>
        </w:rPr>
        <w:t xml:space="preserve">Framing note. </w:t>
      </w:r>
      <w:r>
        <w:rPr>
          <w:rFonts w:ascii="Georgia" w:cs="Georgia" w:eastAsia="Georgia" w:hAnsi="Georgia"/>
          <w:sz w:val="22"/>
          <w:szCs w:val="22"/>
        </w:rPr>
        <w:t xml:space="preserve">The mappings presented in this paper are strictly analogies—functionally similar solutions to similar coordination problems that evolved independently in biological and computational domains. We follow ISO 18458:2015 biomimetic terminology throughout. The Medusa Paradigm provides design </w:t>
      </w:r>
      <w:r>
        <w:rPr>
          <w:rFonts w:ascii="Georgia" w:cs="Georgia" w:eastAsia="Georgia" w:hAnsi="Georgia"/>
          <w:i/>
          <w:iCs/>
          <w:sz w:val="22"/>
          <w:szCs w:val="22"/>
        </w:rPr>
        <w:t xml:space="preserve">inspiration</w:t>
      </w:r>
      <w:r>
        <w:rPr>
          <w:rFonts w:ascii="Georgia" w:cs="Georgia" w:eastAsia="Georgia" w:hAnsi="Georgia"/>
          <w:sz w:val="22"/>
          <w:szCs w:val="22"/>
        </w:rPr>
        <w:t xml:space="preserve">, not engineering </w:t>
      </w:r>
      <w:r>
        <w:rPr>
          <w:rFonts w:ascii="Georgia" w:cs="Georgia" w:eastAsia="Georgia" w:hAnsi="Georgia"/>
          <w:i/>
          <w:iCs/>
          <w:sz w:val="22"/>
          <w:szCs w:val="22"/>
        </w:rPr>
        <w:t xml:space="preserve">authority</w:t>
      </w:r>
      <w:r>
        <w:rPr>
          <w:rFonts w:ascii="Georgia" w:cs="Georgia" w:eastAsia="Georgia" w:hAnsi="Georgia"/>
          <w:sz w:val="22"/>
          <w:szCs w:val="22"/>
        </w:rPr>
        <w:t xml:space="preserve">. The formal properties of the Citrate Network (Papers I–II) are established through standard distributed systems proofs, not biological analogy.</w:t>
      </w:r>
    </w:p>
    <w:p>
      <w:pPr>
        <w:spacing w:after="120" w:line="276"/>
        <w:jc w:val="both"/>
      </w:pPr>
      <w:r>
        <w:rPr>
          <w:rFonts w:ascii="Georgia" w:cs="Georgia" w:eastAsia="Georgia" w:hAnsi="Georgia"/>
          <w:b/>
          <w:bCs/>
          <w:sz w:val="22"/>
          <w:szCs w:val="22"/>
        </w:rPr>
        <w:t xml:space="preserve">Keywords: </w:t>
      </w:r>
      <w:r>
        <w:rPr>
          <w:rFonts w:ascii="Georgia" w:cs="Georgia" w:eastAsia="Georgia" w:hAnsi="Georgia"/>
          <w:i/>
          <w:iCs/>
          <w:sz w:val="22"/>
          <w:szCs w:val="22"/>
        </w:rPr>
        <w:t xml:space="preserve">distributed systems, biomimetic computing, cnidarian neuroscience, DAG consensus, neuromorphic hardware, nerve net, Byzantine fault tolerance, multi-agent coordination</w:t>
      </w:r>
    </w:p>
    <w:p>
      <w:pPr>
        <w:pStyle w:val="Heading1"/>
        <w:spacing w:before="300" w:after="150"/>
      </w:pPr>
      <w:r>
        <w:rPr>
          <w:rFonts w:ascii="Georgia" w:cs="Georgia" w:eastAsia="Georgia" w:hAnsi="Georgia"/>
        </w:rPr>
        <w:t xml:space="preserve">Note on Scope</w:t>
      </w:r>
    </w:p>
    <w:p>
      <w:pPr>
        <w:spacing w:after="120" w:line="276"/>
        <w:jc w:val="both"/>
      </w:pPr>
      <w:r>
        <w:rPr>
          <w:rFonts w:ascii="Georgia" w:cs="Georgia" w:eastAsia="Georgia" w:hAnsi="Georgia"/>
          <w:sz w:val="22"/>
          <w:szCs w:val="22"/>
        </w:rPr>
        <w:t xml:space="preserve">The full Medusa Paradigm paper (57,000+ words, 10 sections, 30+ references) is published as a standalone document. This Gradient Papers entry provides the series-integrated summary: how each of the eight principles maps to specific components of the Citrate architecture, and how the biological inspiration connects to the engineering reality documented in Papers I–VIII.</w:t>
      </w:r>
    </w:p>
    <w:p>
      <w:pPr>
        <w:spacing w:after="120" w:line="276"/>
        <w:jc w:val="both"/>
      </w:pPr>
      <w:r>
        <w:rPr>
          <w:rFonts w:ascii="Georgia" w:cs="Georgia" w:eastAsia="Georgia" w:hAnsi="Georgia"/>
          <w:sz w:val="22"/>
          <w:szCs w:val="22"/>
        </w:rPr>
        <w:t xml:space="preserve">The full paper contains: Section 2 (biological foundations with peer-reviewed experimental data for each species); Section 3 (formal specification of all eight principles); Section 4 (analog computing implications and five leading questions for hardware designers); Section 5 (quantitative comparison of cnidarian vs. conventional architectures); Section 6 (implications for DAG-based distributed AI); Section 7 (proposed taxonomy of cnidarian-derived terminology); Section 8–9 (discussion, limitations, and future work agenda); Section 10 (conclusion).</w:t>
      </w:r>
    </w:p>
    <w:p>
      <w:pPr>
        <w:pStyle w:val="Heading1"/>
        <w:spacing w:before="300" w:after="150"/>
      </w:pPr>
      <w:r>
        <w:rPr>
          <w:rFonts w:ascii="Georgia" w:cs="Georgia" w:eastAsia="Georgia" w:hAnsi="Georgia"/>
        </w:rPr>
        <w:t xml:space="preserve">1. The Eight Principles and Their Citrate Implementations</w:t>
      </w:r>
    </w:p>
    <w:p>
      <w:pPr>
        <w:pStyle w:val="Heading2"/>
        <w:spacing w:before="300" w:after="150"/>
      </w:pPr>
      <w:r>
        <w:rPr>
          <w:rFonts w:ascii="Georgia" w:cs="Georgia" w:eastAsia="Georgia" w:hAnsi="Georgia"/>
        </w:rPr>
        <w:t xml:space="preserve">1.1 Nerve Net Consensus</w:t>
      </w:r>
    </w:p>
    <w:p>
      <w:pPr>
        <w:spacing w:after="120" w:line="276"/>
        <w:jc w:val="both"/>
      </w:pPr>
      <w:r>
        <w:rPr>
          <w:rFonts w:ascii="Georgia" w:cs="Georgia" w:eastAsia="Georgia" w:hAnsi="Georgia"/>
          <w:b/>
          <w:bCs/>
          <w:sz w:val="22"/>
          <w:szCs w:val="22"/>
        </w:rPr>
        <w:t xml:space="preserve">Biology: </w:t>
      </w:r>
      <w:r>
        <w:rPr>
          <w:rFonts w:ascii="Georgia" w:cs="Georgia" w:eastAsia="Georgia" w:hAnsi="Georgia"/>
          <w:sz w:val="22"/>
          <w:szCs w:val="22"/>
        </w:rPr>
        <w:t xml:space="preserve">Aurelia aurita’s nerve net (~5,600 neurons, no central brain) achieves coordinated swimming through bidirectional signal propagation in overlapping local neighborhoods (Weissbourd et al., 2021, Cell).</w:t>
      </w:r>
    </w:p>
    <w:p>
      <w:pPr>
        <w:spacing w:after="120" w:line="276"/>
        <w:jc w:val="both"/>
      </w:pPr>
      <w:r>
        <w:rPr>
          <w:rFonts w:ascii="Georgia" w:cs="Georgia" w:eastAsia="Georgia" w:hAnsi="Georgia"/>
          <w:b/>
          <w:bCs/>
          <w:sz w:val="22"/>
          <w:szCs w:val="22"/>
        </w:rPr>
        <w:t xml:space="preserve">Citrate mapping: </w:t>
      </w:r>
      <w:r>
        <w:rPr>
          <w:rFonts w:ascii="Georgia" w:cs="Georgia" w:eastAsia="Georgia" w:hAnsi="Georgia"/>
          <w:sz w:val="22"/>
          <w:szCs w:val="22"/>
        </w:rPr>
        <w:t xml:space="preserve">The BlockDAG topology (Paper I, Section 2.2) where blocks reference multiple parents and information propagates through the structure without centralized coordination. The through-conducting pulse maps to the BFT finality checkpoint.</w:t>
      </w:r>
    </w:p>
    <w:p>
      <w:pPr>
        <w:pStyle w:val="Heading2"/>
        <w:spacing w:before="300" w:after="150"/>
      </w:pPr>
      <w:r>
        <w:rPr>
          <w:rFonts w:ascii="Georgia" w:cs="Georgia" w:eastAsia="Georgia" w:hAnsi="Georgia"/>
        </w:rPr>
        <w:t xml:space="preserve">1.2 Colonial Modularity</w:t>
      </w:r>
    </w:p>
    <w:p>
      <w:pPr>
        <w:spacing w:after="120" w:line="276"/>
        <w:jc w:val="both"/>
      </w:pPr>
      <w:r>
        <w:rPr>
          <w:rFonts w:ascii="Georgia" w:cs="Georgia" w:eastAsia="Georgia" w:hAnsi="Georgia"/>
          <w:b/>
          <w:bCs/>
          <w:sz w:val="22"/>
          <w:szCs w:val="22"/>
        </w:rPr>
        <w:t xml:space="preserve">Biology: </w:t>
      </w:r>
      <w:r>
        <w:rPr>
          <w:rFonts w:ascii="Georgia" w:cs="Georgia" w:eastAsia="Georgia" w:hAnsi="Georgia"/>
          <w:sz w:val="22"/>
          <w:szCs w:val="22"/>
        </w:rPr>
        <w:t xml:space="preserve">Physalia physalis (Portuguese Man o’ War)—a colony of specialized zooids (locomotion, feeding, reproduction, defense) connected by shared nutritional pathways.</w:t>
      </w:r>
    </w:p>
    <w:p>
      <w:pPr>
        <w:spacing w:after="120" w:line="276"/>
        <w:jc w:val="both"/>
      </w:pPr>
      <w:r>
        <w:rPr>
          <w:rFonts w:ascii="Georgia" w:cs="Georgia" w:eastAsia="Georgia" w:hAnsi="Georgia"/>
          <w:b/>
          <w:bCs/>
          <w:sz w:val="22"/>
          <w:szCs w:val="22"/>
        </w:rPr>
        <w:t xml:space="preserve">Citrate mapping: </w:t>
      </w:r>
      <w:r>
        <w:rPr>
          <w:rFonts w:ascii="Georgia" w:cs="Georgia" w:eastAsia="Georgia" w:hAnsi="Georgia"/>
          <w:sz w:val="22"/>
          <w:szCs w:val="22"/>
        </w:rPr>
        <w:t xml:space="preserve">Node specialization in the federated learning layer (Paper II). Each node hosts different models (specialized experts), contributes to collective intelligence, and receives rewards through shared consensus infrastructure.</w:t>
      </w:r>
    </w:p>
    <w:p>
      <w:pPr>
        <w:pStyle w:val="Heading2"/>
        <w:spacing w:before="300" w:after="150"/>
      </w:pPr>
      <w:r>
        <w:rPr>
          <w:rFonts w:ascii="Georgia" w:cs="Georgia" w:eastAsia="Georgia" w:hAnsi="Georgia"/>
        </w:rPr>
        <w:t xml:space="preserve">1.3 Ontogenetic State Reversal</w:t>
      </w:r>
    </w:p>
    <w:p>
      <w:pPr>
        <w:spacing w:after="120" w:line="276"/>
        <w:jc w:val="both"/>
      </w:pPr>
      <w:r>
        <w:rPr>
          <w:rFonts w:ascii="Georgia" w:cs="Georgia" w:eastAsia="Georgia" w:hAnsi="Georgia"/>
          <w:b/>
          <w:bCs/>
          <w:sz w:val="22"/>
          <w:szCs w:val="22"/>
        </w:rPr>
        <w:t xml:space="preserve">Biology: </w:t>
      </w:r>
      <w:r>
        <w:rPr>
          <w:rFonts w:ascii="Georgia" w:cs="Georgia" w:eastAsia="Georgia" w:hAnsi="Georgia"/>
          <w:sz w:val="22"/>
          <w:szCs w:val="22"/>
        </w:rPr>
        <w:t xml:space="preserve">Turritopsis dohrnii (immortal jellyfish) reverts differentiated cells to earlier states through transdifferentiation (Pascual-Torner et al., 2022, PNAS).</w:t>
      </w:r>
    </w:p>
    <w:p>
      <w:pPr>
        <w:spacing w:after="120" w:line="276"/>
        <w:jc w:val="both"/>
      </w:pPr>
      <w:r>
        <w:rPr>
          <w:rFonts w:ascii="Georgia" w:cs="Georgia" w:eastAsia="Georgia" w:hAnsi="Georgia"/>
          <w:b/>
          <w:bCs/>
          <w:sz w:val="22"/>
          <w:szCs w:val="22"/>
        </w:rPr>
        <w:t xml:space="preserve">Citrate mapping: </w:t>
      </w:r>
      <w:r>
        <w:rPr>
          <w:rFonts w:ascii="Georgia" w:cs="Georgia" w:eastAsia="Georgia" w:hAnsi="Georgia"/>
          <w:sz w:val="22"/>
          <w:szCs w:val="22"/>
        </w:rPr>
        <w:t xml:space="preserve">Checkpoint-based state rollback. If a node’s model degrades, the adapter can be reverted to a previous checkpoint’s version. The network’s immutable checkpoint history enables state recovery without data loss.</w:t>
      </w:r>
    </w:p>
    <w:p>
      <w:pPr>
        <w:pStyle w:val="Heading2"/>
        <w:spacing w:before="300" w:after="150"/>
      </w:pPr>
      <w:r>
        <w:rPr>
          <w:rFonts w:ascii="Georgia" w:cs="Georgia" w:eastAsia="Georgia" w:hAnsi="Georgia"/>
        </w:rPr>
        <w:t xml:space="preserve">1.4 Distributed Observability</w:t>
      </w:r>
    </w:p>
    <w:p>
      <w:pPr>
        <w:spacing w:after="120" w:line="276"/>
        <w:jc w:val="both"/>
      </w:pPr>
      <w:r>
        <w:rPr>
          <w:rFonts w:ascii="Georgia" w:cs="Georgia" w:eastAsia="Georgia" w:hAnsi="Georgia"/>
          <w:b/>
          <w:bCs/>
          <w:sz w:val="22"/>
          <w:szCs w:val="22"/>
        </w:rPr>
        <w:t xml:space="preserve">Biology: </w:t>
      </w:r>
      <w:r>
        <w:rPr>
          <w:rFonts w:ascii="Georgia" w:cs="Georgia" w:eastAsia="Georgia" w:hAnsi="Georgia"/>
          <w:sz w:val="22"/>
          <w:szCs w:val="22"/>
        </w:rPr>
        <w:t xml:space="preserve">Tripedalia cystophora (box jellyfish) has 24 eyes of four types, processing visual information locally without centralized brain integration (Garm et al., 2011, Current Biology).</w:t>
      </w:r>
    </w:p>
    <w:p>
      <w:pPr>
        <w:spacing w:after="120" w:line="276"/>
        <w:jc w:val="both"/>
      </w:pPr>
      <w:r>
        <w:rPr>
          <w:rFonts w:ascii="Georgia" w:cs="Georgia" w:eastAsia="Georgia" w:hAnsi="Georgia"/>
          <w:b/>
          <w:bCs/>
          <w:sz w:val="22"/>
          <w:szCs w:val="22"/>
        </w:rPr>
        <w:t xml:space="preserve">Citrate mapping: </w:t>
      </w:r>
      <w:r>
        <w:rPr>
          <w:rFonts w:ascii="Georgia" w:cs="Georgia" w:eastAsia="Georgia" w:hAnsi="Georgia"/>
          <w:sz w:val="22"/>
          <w:szCs w:val="22"/>
        </w:rPr>
        <w:t xml:space="preserve">Multi-modal monitoring across the three-layer architecture: consensus metrics (blue score, block production), execution metrics (gas usage, inference latency), and learning metrics (adapter quality, embedding drift). Each layer processes its own signals locally.</w:t>
      </w:r>
    </w:p>
    <w:p>
      <w:pPr>
        <w:pStyle w:val="Heading2"/>
        <w:spacing w:before="300" w:after="150"/>
      </w:pPr>
      <w:r>
        <w:rPr>
          <w:rFonts w:ascii="Georgia" w:cs="Georgia" w:eastAsia="Georgia" w:hAnsi="Georgia"/>
        </w:rPr>
        <w:t xml:space="preserve">1.5 Symbiotic Compute Substrates</w:t>
      </w:r>
    </w:p>
    <w:p>
      <w:pPr>
        <w:spacing w:after="120" w:line="276"/>
        <w:jc w:val="both"/>
      </w:pPr>
      <w:r>
        <w:rPr>
          <w:rFonts w:ascii="Georgia" w:cs="Georgia" w:eastAsia="Georgia" w:hAnsi="Georgia"/>
          <w:b/>
          <w:bCs/>
          <w:sz w:val="22"/>
          <w:szCs w:val="22"/>
        </w:rPr>
        <w:t xml:space="preserve">Biology: </w:t>
      </w:r>
      <w:r>
        <w:rPr>
          <w:rFonts w:ascii="Georgia" w:cs="Georgia" w:eastAsia="Georgia" w:hAnsi="Georgia"/>
          <w:sz w:val="22"/>
          <w:szCs w:val="22"/>
        </w:rPr>
        <w:t xml:space="preserve">Cassiopea (upside-down jellyfish) hosts photosynthetic algae, providing nutrients in exchange for shelter—both parties benefit.</w:t>
      </w:r>
    </w:p>
    <w:p>
      <w:pPr>
        <w:spacing w:after="120" w:line="276"/>
        <w:jc w:val="both"/>
      </w:pPr>
      <w:r>
        <w:rPr>
          <w:rFonts w:ascii="Georgia" w:cs="Georgia" w:eastAsia="Georgia" w:hAnsi="Georgia"/>
          <w:b/>
          <w:bCs/>
          <w:sz w:val="22"/>
          <w:szCs w:val="22"/>
        </w:rPr>
        <w:t xml:space="preserve">Citrate mapping: </w:t>
      </w:r>
      <w:r>
        <w:rPr>
          <w:rFonts w:ascii="Georgia" w:cs="Georgia" w:eastAsia="Georgia" w:hAnsi="Georgia"/>
          <w:sz w:val="22"/>
          <w:szCs w:val="22"/>
        </w:rPr>
        <w:t xml:space="preserve">The $SNAP bridge architecture (Paper VI). The bridge (coral) hosts user capital (algae), and both benefit—the bridge gains liquidity, the capital earns fees. Also applies to the MCP marketplace: the platform hosts models, models generate revenue for the platform.</w:t>
      </w:r>
    </w:p>
    <w:p>
      <w:pPr>
        <w:pStyle w:val="Heading2"/>
        <w:spacing w:before="300" w:after="150"/>
      </w:pPr>
      <w:r>
        <w:rPr>
          <w:rFonts w:ascii="Georgia" w:cs="Georgia" w:eastAsia="Georgia" w:hAnsi="Georgia"/>
        </w:rPr>
        <w:t xml:space="preserve">1.6 Bloom Dynamics</w:t>
      </w:r>
    </w:p>
    <w:p>
      <w:pPr>
        <w:spacing w:after="120" w:line="276"/>
        <w:jc w:val="both"/>
      </w:pPr>
      <w:r>
        <w:rPr>
          <w:rFonts w:ascii="Georgia" w:cs="Georgia" w:eastAsia="Georgia" w:hAnsi="Georgia"/>
          <w:b/>
          <w:bCs/>
          <w:sz w:val="22"/>
          <w:szCs w:val="22"/>
        </w:rPr>
        <w:t xml:space="preserve">Biology: </w:t>
      </w:r>
      <w:r>
        <w:rPr>
          <w:rFonts w:ascii="Georgia" w:cs="Georgia" w:eastAsia="Georgia" w:hAnsi="Georgia"/>
          <w:sz w:val="22"/>
          <w:szCs w:val="22"/>
        </w:rPr>
        <w:t xml:space="preserve">Jellyfish blooms are triggered by environmental thresholds (temperature, nutrients) rather than centralized signaling.</w:t>
      </w:r>
    </w:p>
    <w:p>
      <w:pPr>
        <w:spacing w:after="120" w:line="276"/>
        <w:jc w:val="both"/>
      </w:pPr>
      <w:r>
        <w:rPr>
          <w:rFonts w:ascii="Georgia" w:cs="Georgia" w:eastAsia="Georgia" w:hAnsi="Georgia"/>
          <w:b/>
          <w:bCs/>
          <w:sz w:val="22"/>
          <w:szCs w:val="22"/>
        </w:rPr>
        <w:t xml:space="preserve">Citrate mapping: </w:t>
      </w:r>
      <w:r>
        <w:rPr>
          <w:rFonts w:ascii="Georgia" w:cs="Georgia" w:eastAsia="Georgia" w:hAnsi="Georgia"/>
          <w:sz w:val="22"/>
          <w:szCs w:val="22"/>
        </w:rPr>
        <w:t xml:space="preserve">Adaptive parameter scaling. When network participation exceeds thresholds, consensus parameters adjust automatically (e.g., committee size increases, checkpoint interval adapts). The CL390 molecular timer from Turritopsis (Fuchs et al., 2014, Current Biology) inspires threshold-triggered state transitions.</w:t>
      </w:r>
    </w:p>
    <w:p>
      <w:pPr>
        <w:pStyle w:val="Heading2"/>
        <w:spacing w:before="300" w:after="150"/>
      </w:pPr>
      <w:r>
        <w:rPr>
          <w:rFonts w:ascii="Georgia" w:cs="Georgia" w:eastAsia="Georgia" w:hAnsi="Georgia"/>
        </w:rPr>
        <w:t xml:space="preserve">1.7 Strobilation Pipelines</w:t>
      </w:r>
    </w:p>
    <w:p>
      <w:pPr>
        <w:spacing w:after="120" w:line="276"/>
        <w:jc w:val="both"/>
      </w:pPr>
      <w:r>
        <w:rPr>
          <w:rFonts w:ascii="Georgia" w:cs="Georgia" w:eastAsia="Georgia" w:hAnsi="Georgia"/>
          <w:b/>
          <w:bCs/>
          <w:sz w:val="22"/>
          <w:szCs w:val="22"/>
        </w:rPr>
        <w:t xml:space="preserve">Biology: </w:t>
      </w:r>
      <w:r>
        <w:rPr>
          <w:rFonts w:ascii="Georgia" w:cs="Georgia" w:eastAsia="Georgia" w:hAnsi="Georgia"/>
          <w:sz w:val="22"/>
          <w:szCs w:val="22"/>
        </w:rPr>
        <w:t xml:space="preserve">Scyphozoan reproduction: polyp → strobilation → ephyra → medusa. A multi-stage deployment lifecycle with quality gates at each transition.</w:t>
      </w:r>
    </w:p>
    <w:p>
      <w:pPr>
        <w:spacing w:after="120" w:line="276"/>
        <w:jc w:val="both"/>
      </w:pPr>
      <w:r>
        <w:rPr>
          <w:rFonts w:ascii="Georgia" w:cs="Georgia" w:eastAsia="Georgia" w:hAnsi="Georgia"/>
          <w:b/>
          <w:bCs/>
          <w:sz w:val="22"/>
          <w:szCs w:val="22"/>
        </w:rPr>
        <w:t xml:space="preserve">Citrate mapping: </w:t>
      </w:r>
      <w:r>
        <w:rPr>
          <w:rFonts w:ascii="Georgia" w:cs="Georgia" w:eastAsia="Georgia" w:hAnsi="Georgia"/>
          <w:sz w:val="22"/>
          <w:szCs w:val="22"/>
        </w:rPr>
        <w:t xml:space="preserve">The BDD-first agentic workflow (Paper IV): specification → red (failing tests) → green (passing tests) → refactor → commit. Each stage is a quality gate. Also maps to the adapter lifecycle: generation → validation → deployment → evaluation → retirement.</w:t>
      </w:r>
    </w:p>
    <w:p>
      <w:pPr>
        <w:pStyle w:val="Heading2"/>
        <w:spacing w:before="300" w:after="150"/>
      </w:pPr>
      <w:r>
        <w:rPr>
          <w:rFonts w:ascii="Georgia" w:cs="Georgia" w:eastAsia="Georgia" w:hAnsi="Georgia"/>
        </w:rPr>
        <w:t xml:space="preserve">1.8 Nematocyst Defense</w:t>
      </w:r>
    </w:p>
    <w:p>
      <w:pPr>
        <w:spacing w:after="120" w:line="276"/>
        <w:jc w:val="both"/>
      </w:pPr>
      <w:r>
        <w:rPr>
          <w:rFonts w:ascii="Georgia" w:cs="Georgia" w:eastAsia="Georgia" w:hAnsi="Georgia"/>
          <w:b/>
          <w:bCs/>
          <w:sz w:val="22"/>
          <w:szCs w:val="22"/>
        </w:rPr>
        <w:t xml:space="preserve">Biology: </w:t>
      </w:r>
      <w:r>
        <w:rPr>
          <w:rFonts w:ascii="Georgia" w:cs="Georgia" w:eastAsia="Georgia" w:hAnsi="Georgia"/>
          <w:sz w:val="22"/>
          <w:szCs w:val="22"/>
        </w:rPr>
        <w:t xml:space="preserve">Cnidarian stinging cells (nematocysts) discharge automatically in response to chemoreceptor + mechanoreceptor signals. Multi-signal integration prevents false positives. Hydractinia allorecognition distinguishes self from non-self.</w:t>
      </w:r>
    </w:p>
    <w:p>
      <w:pPr>
        <w:spacing w:after="120" w:line="276"/>
        <w:jc w:val="both"/>
      </w:pPr>
      <w:r>
        <w:rPr>
          <w:rFonts w:ascii="Georgia" w:cs="Georgia" w:eastAsia="Georgia" w:hAnsi="Georgia"/>
          <w:b/>
          <w:bCs/>
          <w:sz w:val="22"/>
          <w:szCs w:val="22"/>
        </w:rPr>
        <w:t xml:space="preserve">Citrate mapping: </w:t>
      </w:r>
      <w:r>
        <w:rPr>
          <w:rFonts w:ascii="Georgia" w:cs="Georgia" w:eastAsia="Georgia" w:hAnsi="Georgia"/>
          <w:sz w:val="22"/>
          <w:szCs w:val="22"/>
        </w:rPr>
        <w:t xml:space="preserve">Slashing mechanisms (Paper I, Section 4). Defense is automatic (smart contract enforcement), decentralized (any validator can challenge), and funded by the attacker’s own stake. Multi-signal verification (signature + optimistic + ZK tiers) prevents false-positive slashing.</w:t>
      </w:r>
    </w:p>
    <w:p>
      <w:pPr>
        <w:pStyle w:val="Heading1"/>
        <w:spacing w:before="300" w:after="150"/>
      </w:pPr>
      <w:r>
        <w:rPr>
          <w:rFonts w:ascii="Georgia" w:cs="Georgia" w:eastAsia="Georgia" w:hAnsi="Georgia"/>
        </w:rPr>
        <w:t xml:space="preserve">2. Honest Boundaries</w:t>
      </w:r>
    </w:p>
    <w:p>
      <w:pPr>
        <w:spacing w:after="120" w:line="276"/>
        <w:jc w:val="both"/>
      </w:pPr>
      <w:r>
        <w:rPr>
          <w:rFonts w:ascii="Georgia" w:cs="Georgia" w:eastAsia="Georgia" w:hAnsi="Georgia"/>
          <w:sz w:val="22"/>
          <w:szCs w:val="22"/>
        </w:rPr>
        <w:t xml:space="preserve">The biological analogies presented here are functional, not mechanistic. The cnidarian nerve net has not been mathematically shown to implement any specific consensus protocol. Byzantine fault tolerance parallels are incomplete—nematocyst discharge is a physical reflex, not a game-theoretic strategy. The analog-digital gap remains significant for purely digital implementations (see Paper V for the most literal bridge between biological analog processing and silicon).</w:t>
      </w:r>
    </w:p>
    <w:p>
      <w:pPr>
        <w:spacing w:after="120" w:line="276"/>
        <w:jc w:val="both"/>
      </w:pPr>
      <w:r>
        <w:rPr>
          <w:rFonts w:ascii="Georgia" w:cs="Georgia" w:eastAsia="Georgia" w:hAnsi="Georgia"/>
          <w:sz w:val="22"/>
          <w:szCs w:val="22"/>
        </w:rPr>
        <w:t xml:space="preserve">These principles provided design inspiration for the Citrate architecture. The architecture’s formal properties—safety, liveness, convergence—are established through standard distributed systems proofs (Paper I, Paper II), not biological analogy. The Medusa Paradigm is the first paper in the series conceptually but the last in presentation order, because the engineering must stand on its own before the inspiration can be appreciated.</w:t>
      </w:r>
    </w:p>
    <w:p>
      <w:pPr>
        <w:pStyle w:val="Heading1"/>
        <w:spacing w:before="300" w:after="150"/>
      </w:pPr>
      <w:r>
        <w:rPr>
          <w:rFonts w:ascii="Georgia" w:cs="Georgia" w:eastAsia="Georgia" w:hAnsi="Georgia"/>
        </w:rPr>
        <w:t xml:space="preserve">3. Relationship to the Gradient Papers Series</w:t>
      </w:r>
    </w:p>
    <w:p>
      <w:pPr>
        <w:spacing w:after="120" w:line="276"/>
        <w:jc w:val="both"/>
      </w:pPr>
      <w:r>
        <w:rPr>
          <w:rFonts w:ascii="Georgia" w:cs="Georgia" w:eastAsia="Georgia" w:hAnsi="Georgia"/>
          <w:sz w:val="22"/>
          <w:szCs w:val="22"/>
        </w:rPr>
        <w:t xml:space="preserve">Every paper in the series references at least one Medusa Paradigm principle. The nerve net → BlockDAG isomorphism motivates Papers I–II. Colonial modularity motivates the federated learning architecture (Paper II–III). Nematocyst defense motivates slashing economics (Papers I, VIII). Strobilation pipelines motivate the BDD methodology (Paper IV). Symbiotic compute substrates motivate the bridge architecture (Paper VI). The Medusa Paradigm is positioned last in the series so that readers encounter the engineering first and the biological inspiration second—ensuring the system’s credibility rests on its technical merits.</w:t>
      </w:r>
    </w:p>
    <w:p>
      <w:pPr>
        <w:pStyle w:val="Heading1"/>
        <w:spacing w:before="300" w:after="150"/>
      </w:pPr>
      <w:r>
        <w:rPr>
          <w:rFonts w:ascii="Georgia" w:cs="Georgia" w:eastAsia="Georgia" w:hAnsi="Georgia"/>
        </w:rPr>
        <w:t xml:space="preserve">References</w:t>
      </w:r>
    </w:p>
    <w:p>
      <w:pPr>
        <w:spacing w:after="120" w:line="276"/>
        <w:jc w:val="both"/>
      </w:pPr>
      <w:r>
        <w:rPr>
          <w:rFonts w:ascii="Georgia" w:cs="Georgia" w:eastAsia="Georgia" w:hAnsi="Georgia"/>
          <w:sz w:val="22"/>
          <w:szCs w:val="22"/>
        </w:rPr>
        <w:t xml:space="preserve">See full Medusa Paradigm paper (standalone document) for complete 30+ reference list. Key sources:</w:t>
      </w:r>
    </w:p>
    <w:p>
      <w:pPr>
        <w:spacing w:after="120" w:line="276"/>
        <w:jc w:val="both"/>
      </w:pPr>
      <w:r>
        <w:rPr>
          <w:rFonts w:ascii="Georgia" w:cs="Georgia" w:eastAsia="Georgia" w:hAnsi="Georgia"/>
          <w:sz w:val="22"/>
          <w:szCs w:val="22"/>
        </w:rPr>
        <w:t xml:space="preserve">Weissbourd, B., et al. (2021). A genetically tractable jellyfish model. Cell, 184(24).</w:t>
      </w:r>
    </w:p>
    <w:p>
      <w:pPr>
        <w:spacing w:after="120" w:line="276"/>
        <w:jc w:val="both"/>
      </w:pPr>
      <w:r>
        <w:rPr>
          <w:rFonts w:ascii="Georgia" w:cs="Georgia" w:eastAsia="Georgia" w:hAnsi="Georgia"/>
          <w:sz w:val="22"/>
          <w:szCs w:val="22"/>
        </w:rPr>
        <w:t xml:space="preserve">Pascual-Torner, M., et al. (2022). Comparative genomics of mortal and immortal cnidarians. PNAS, 119(36).</w:t>
      </w:r>
    </w:p>
    <w:p>
      <w:pPr>
        <w:spacing w:after="120" w:line="276"/>
        <w:jc w:val="both"/>
      </w:pPr>
      <w:r>
        <w:rPr>
          <w:rFonts w:ascii="Georgia" w:cs="Georgia" w:eastAsia="Georgia" w:hAnsi="Georgia"/>
          <w:sz w:val="22"/>
          <w:szCs w:val="22"/>
        </w:rPr>
        <w:t xml:space="preserve">Garm, A., et al. (2011). Box jellyfish use terrestrial visual cues for navigation. Current Biology, 21(9).</w:t>
      </w:r>
    </w:p>
    <w:p>
      <w:pPr>
        <w:spacing w:after="120" w:line="276"/>
        <w:jc w:val="both"/>
      </w:pPr>
      <w:r>
        <w:rPr>
          <w:rFonts w:ascii="Georgia" w:cs="Georgia" w:eastAsia="Georgia" w:hAnsi="Georgia"/>
          <w:sz w:val="22"/>
          <w:szCs w:val="22"/>
        </w:rPr>
        <w:t xml:space="preserve">Kudithipudi, D., et al. (2025). Neuromorphic computing at scale. Nature, 637.</w:t>
      </w:r>
    </w:p>
    <w:p>
      <w:pPr>
        <w:spacing w:after="120" w:line="276"/>
        <w:jc w:val="both"/>
      </w:pPr>
      <w:r>
        <w:rPr>
          <w:rFonts w:ascii="Georgia" w:cs="Georgia" w:eastAsia="Georgia" w:hAnsi="Georgia"/>
          <w:sz w:val="22"/>
          <w:szCs w:val="22"/>
        </w:rPr>
        <w:t xml:space="preserve">Cartwright, P., et al. (2007). Exceptionally preserved jellyfishes from the Middle Cambrian. PLoS ONE, 2(10).</w:t>
      </w:r>
    </w:p>
    <w:p>
      <w:pPr>
        <w:spacing w:after="120" w:line="276"/>
        <w:jc w:val="both"/>
      </w:pPr>
      <w:r>
        <w:rPr>
          <w:rFonts w:ascii="Georgia" w:cs="Georgia" w:eastAsia="Georgia" w:hAnsi="Georgia"/>
          <w:sz w:val="22"/>
          <w:szCs w:val="22"/>
        </w:rPr>
        <w:t xml:space="preserve">Anderson, P. A. V. (1985). Physiology of a bidirectional, excitatory, chemical synapse. J. Neurophysiology, 53(3).</w:t>
      </w:r>
    </w:p>
    <w:p>
      <w:pPr>
        <w:spacing w:before="400"/>
        <w:jc w:val="center"/>
      </w:pPr>
      <w:r>
        <w:rPr>
          <w:rFonts w:ascii="Georgia" w:cs="Georgia" w:eastAsia="Georgia" w:hAnsi="Georgia"/>
          <w:i/>
          <w:iCs/>
          <w:color w:val="666666"/>
          <w:sz w:val="20"/>
          <w:szCs w:val="20"/>
        </w:rPr>
        <w:t xml:space="preserve">Cnidarian Foundation  •  larry@cnidarianfoundation.org</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666666"/>
        <w:sz w:val="18"/>
        <w:szCs w:val="18"/>
      </w:rPr>
      <w:t xml:space="preserve">Cnidarian Foundation • Working Paper • February 2026 • Page </w:t>
    </w:r>
    <w:r>
      <w:rPr>
        <w:rFonts w:ascii="Georgia" w:cs="Georgia" w:eastAsia="Georgia" w:hAnsi="Georgia"/>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666666"/>
        <w:sz w:val="18"/>
        <w:szCs w:val="18"/>
      </w:rPr>
      <w:t xml:space="preserve">The Gradient Papers — No. IX: The Medusa Paradigm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Georgia" w:cs="Georgia" w:eastAsia="Georgia" w:hAnsi="Georgia"/>
      <w:b/>
      <w:bCs/>
      <w:color w:val="6A0DAD"/>
      <w:sz w:val="30"/>
      <w:szCs w:val="30"/>
    </w:rPr>
  </w:style>
  <w:style w:type="paragraph" w:styleId="Heading2">
    <w:name w:val="Heading 2"/>
    <w:basedOn w:val="Normal"/>
    <w:next w:val="Normal"/>
    <w:qFormat/>
    <w:pPr>
      <w:spacing w:before="240" w:after="120"/>
      <w:outlineLvl w:val="1"/>
    </w:pPr>
    <w:rPr>
      <w:rFonts w:ascii="Georgia" w:cs="Georgia" w:eastAsia="Georgia" w:hAnsi="Georgia"/>
      <w:b/>
      <w:bCs/>
      <w:color w:val="4A7C2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2026-03-01T01:04:27.560Z</dcterms:created>
  <dcterms:modified xsi:type="dcterms:W3CDTF">2026-03-01T01:04:27.560Z</dcterms:modified>
</cp:coreProperties>
</file>

<file path=docProps/custom.xml><?xml version="1.0" encoding="utf-8"?>
<Properties xmlns="http://schemas.openxmlformats.org/officeDocument/2006/custom-properties" xmlns:vt="http://schemas.openxmlformats.org/officeDocument/2006/docPropsVTypes"/>
</file>