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color w:val="666666"/>
          <w:sz w:val="20"/>
          <w:szCs w:val="20"/>
        </w:rPr>
        <w:t xml:space="preserve">The Gradient Papers — No. VIII</w:t>
      </w:r>
    </w:p>
    <w:p>
      <w:pPr>
        <w:spacing w:after="40"/>
        <w:jc w:val="center"/>
      </w:pPr>
      <w:r>
        <w:rPr>
          <w:rFonts w:ascii="Georgia" w:cs="Georgia" w:eastAsia="Georgia" w:hAnsi="Georgia"/>
          <w:b/>
          <w:bCs/>
          <w:color w:val="CC3333"/>
          <w:sz w:val="34"/>
          <w:szCs w:val="34"/>
        </w:rPr>
        <w:t xml:space="preserve">The BR1J Constitution:</w:t>
      </w:r>
    </w:p>
    <w:p>
      <w:pPr>
        <w:spacing w:after="40"/>
        <w:jc w:val="center"/>
      </w:pPr>
      <w:r>
        <w:rPr>
          <w:rFonts w:ascii="Georgia" w:cs="Georgia" w:eastAsia="Georgia" w:hAnsi="Georgia"/>
          <w:b/>
          <w:bCs/>
          <w:color w:val="CC3333"/>
          <w:sz w:val="34"/>
          <w:szCs w:val="34"/>
        </w:rPr>
        <w:t xml:space="preserve">DAO Governance Declaration, Code of Ethics,</w:t>
      </w:r>
    </w:p>
    <w:p>
      <w:pPr>
        <w:spacing w:after="40"/>
        <w:jc w:val="center"/>
      </w:pPr>
      <w:r>
        <w:rPr>
          <w:rFonts w:ascii="Georgia" w:cs="Georgia" w:eastAsia="Georgia" w:hAnsi="Georgia"/>
          <w:b/>
          <w:bCs/>
          <w:color w:val="CC3333"/>
          <w:sz w:val="34"/>
          <w:szCs w:val="34"/>
        </w:rPr>
        <w:t xml:space="preserve">and Human-AI Symbiosis Framework</w:t>
      </w:r>
    </w:p>
    <w:p>
      <w:pPr>
        <w:spacing w:after="200"/>
        <w:jc w:val="center"/>
      </w:pPr>
      <w:r>
        <w:rPr>
          <w:rFonts w:ascii="Georgia" w:cs="Georgia" w:eastAsia="Georgia" w:hAnsi="Georgia"/>
          <w:i/>
          <w:iCs/>
          <w:color w:val="666666"/>
          <w:sz w:val="22"/>
          <w:szCs w:val="22"/>
        </w:rPr>
        <w:t xml:space="preserve">A Living Document for the Governance of the Citrate Network</w:t>
      </w:r>
    </w:p>
    <w:p>
      <w:pPr>
        <w:spacing w:after="40"/>
        <w:jc w:val="center"/>
      </w:pPr>
      <w:r>
        <w:rPr>
          <w:rFonts w:ascii="Georgia" w:cs="Georgia" w:eastAsia="Georgia" w:hAnsi="Georgia"/>
          <w:sz w:val="22"/>
          <w:szCs w:val="22"/>
        </w:rPr>
        <w:t xml:space="preserve">Larry Klosowski</w:t>
      </w:r>
    </w:p>
    <w:p>
      <w:pPr>
        <w:spacing w:after="20"/>
        <w:jc w:val="center"/>
      </w:pPr>
      <w:r>
        <w:rPr>
          <w:rFonts w:ascii="Georgia" w:cs="Georgia" w:eastAsia="Georgia" w:hAnsi="Georgia"/>
          <w:color w:val="666666"/>
          <w:sz w:val="20"/>
          <w:szCs w:val="20"/>
        </w:rPr>
        <w:t xml:space="preserve">Cnidarian Foundation / Labs, Carpinteria, CA</w:t>
      </w:r>
    </w:p>
    <w:p>
      <w:pPr>
        <w:spacing w:after="20"/>
        <w:jc w:val="center"/>
      </w:pPr>
      <w:r>
        <w:rPr>
          <w:rFonts w:ascii="Georgia" w:cs="Georgia" w:eastAsia="Georgia" w:hAnsi="Georgia"/>
          <w:color w:val="666666"/>
          <w:sz w:val="20"/>
          <w:szCs w:val="20"/>
        </w:rPr>
        <w:t xml:space="preserve">BR1J Hodling Co, Wyoming  •  Dandi Health Inc., Delaware</w:t>
      </w:r>
    </w:p>
    <w:p>
      <w:pPr>
        <w:spacing w:after="300"/>
        <w:jc w:val="center"/>
      </w:pPr>
      <w:r>
        <w:rPr>
          <w:rFonts w:ascii="Georgia" w:cs="Georgia" w:eastAsia="Georgia" w:hAnsi="Georgia"/>
          <w:i/>
          <w:iCs/>
          <w:color w:val="666666"/>
          <w:sz w:val="20"/>
          <w:szCs w:val="20"/>
        </w:rPr>
        <w:t xml:space="preserve">Working Paper — February 2026  •  Preprint — Not yet peer reviewed</w:t>
      </w:r>
    </w:p>
    <w:p>
      <w:pPr>
        <w:pStyle w:val="Heading1"/>
        <w:spacing w:before="300" w:after="150"/>
      </w:pPr>
      <w:r>
        <w:rPr>
          <w:rFonts w:ascii="Georgia" w:cs="Georgia" w:eastAsia="Georgia" w:hAnsi="Georgia"/>
        </w:rPr>
        <w:t xml:space="preserve">Abstract</w:t>
      </w:r>
    </w:p>
    <w:p>
      <w:pPr>
        <w:spacing w:after="120" w:line="276"/>
        <w:jc w:val="both"/>
      </w:pPr>
      <w:r>
        <w:rPr>
          <w:rFonts w:ascii="Georgia" w:cs="Georgia" w:eastAsia="Georgia" w:hAnsi="Georgia"/>
          <w:sz w:val="22"/>
          <w:szCs w:val="22"/>
        </w:rPr>
        <w:t xml:space="preserve">A decentralized network requires governance that is robust yet adaptive, technically precise yet philosophically grounded. The BR1J Constitution establishes the governance framework for the Citrate Network DAO, filed under Wyoming DAO law through BR1J Hodling Co. This document defines seven foundational principles: collective intelligence and human-AI symbiosis; autonomy coupled with accountability; EVM-compatible on-chain governance; equitable contribution-weighted value distribution; data privacy as a fundamental right; adaptive amendment via supermajority; and stewardship of AI entity rights. We specify the on-chain governance mechanics (proposal lifecycle, voting weights, quorum requirements, timelock periods), the code of ethics governing network participants, and the framework for human-AI collaboration that treats AI systems as partners in governance rather than mere tools. The Constitution is designed as a living document: amendable through its own governance mechanisms, testable against its own principles, and accountable to the community it serves.</w:t>
      </w:r>
    </w:p>
    <w:p>
      <w:pPr>
        <w:spacing w:after="120" w:line="276"/>
        <w:jc w:val="both"/>
      </w:pPr>
      <w:r>
        <w:rPr>
          <w:rFonts w:ascii="Georgia" w:cs="Georgia" w:eastAsia="Georgia" w:hAnsi="Georgia"/>
          <w:b/>
          <w:bCs/>
          <w:sz w:val="22"/>
          <w:szCs w:val="22"/>
        </w:rPr>
        <w:t xml:space="preserve">Keywords: </w:t>
      </w:r>
      <w:r>
        <w:rPr>
          <w:rFonts w:ascii="Georgia" w:cs="Georgia" w:eastAsia="Georgia" w:hAnsi="Georgia"/>
          <w:i/>
          <w:iCs/>
          <w:sz w:val="22"/>
          <w:szCs w:val="22"/>
        </w:rPr>
        <w:t xml:space="preserve">DAO governance, Wyoming DAO law, human-AI symbiosis, on-chain voting, code of ethics, decentralized governance, living constitution, AI entity rights</w:t>
      </w:r>
    </w:p>
    <w:p>
      <w:pPr>
        <w:pStyle w:val="Heading1"/>
        <w:spacing w:before="300" w:after="150"/>
      </w:pPr>
      <w:r>
        <w:rPr>
          <w:rFonts w:ascii="Georgia" w:cs="Georgia" w:eastAsia="Georgia" w:hAnsi="Georgia"/>
        </w:rPr>
        <w:t xml:space="preserve">1. Preamble and Legal Standing</w:t>
      </w:r>
    </w:p>
    <w:p>
      <w:pPr>
        <w:pStyle w:val="Heading2"/>
        <w:spacing w:before="300" w:after="150"/>
      </w:pPr>
      <w:r>
        <w:rPr>
          <w:rFonts w:ascii="Georgia" w:cs="Georgia" w:eastAsia="Georgia" w:hAnsi="Georgia"/>
        </w:rPr>
        <w:t xml:space="preserve">1.1 Legal Entity</w:t>
      </w:r>
    </w:p>
    <w:p>
      <w:pPr>
        <w:spacing w:after="120" w:line="276"/>
        <w:jc w:val="both"/>
      </w:pPr>
      <w:r>
        <w:rPr>
          <w:rFonts w:ascii="Georgia" w:cs="Georgia" w:eastAsia="Georgia" w:hAnsi="Georgia"/>
          <w:sz w:val="22"/>
          <w:szCs w:val="22"/>
        </w:rPr>
        <w:t xml:space="preserve">The BR1J DAO operates through BR1J Hodling Co, a Wyoming corporation organized under the Wyoming Decentralized Autonomous Organization Supplement (W.S. § 17-31-101 et seq.). Wyoming was the first US jurisdiction to provide legal recognition for DAOs, enabling BR1J to operate with limited liability while maintaining decentralized governance. The operating entity Dandi Health Inc. (Delaware C-Corp) handles operational matters requiring traditional corporate structure.</w:t>
      </w:r>
    </w:p>
    <w:p>
      <w:pPr>
        <w:pStyle w:val="Heading2"/>
        <w:spacing w:before="300" w:after="150"/>
      </w:pPr>
      <w:r>
        <w:rPr>
          <w:rFonts w:ascii="Georgia" w:cs="Georgia" w:eastAsia="Georgia" w:hAnsi="Georgia"/>
        </w:rPr>
        <w:t xml:space="preserve">1.2 Purpose</w:t>
      </w:r>
    </w:p>
    <w:p>
      <w:pPr>
        <w:spacing w:after="120" w:line="276"/>
        <w:jc w:val="both"/>
      </w:pPr>
      <w:r>
        <w:rPr>
          <w:rFonts w:ascii="Georgia" w:cs="Georgia" w:eastAsia="Georgia" w:hAnsi="Georgia"/>
          <w:sz w:val="22"/>
          <w:szCs w:val="22"/>
        </w:rPr>
        <w:t xml:space="preserve">The BR1J DAO governs the Citrate Network: its protocol parameters, economic policies, upgrade decisions, and community standards. The Constitution establishes the rules by which this governance operates—and the rules by which those rules can be changed.</w:t>
      </w:r>
    </w:p>
    <w:p>
      <w:pPr>
        <w:pStyle w:val="Heading1"/>
        <w:spacing w:before="300" w:after="150"/>
      </w:pPr>
      <w:r>
        <w:rPr>
          <w:rFonts w:ascii="Georgia" w:cs="Georgia" w:eastAsia="Georgia" w:hAnsi="Georgia"/>
        </w:rPr>
        <w:t xml:space="preserve">2. Seven Foundational Principles</w:t>
      </w:r>
    </w:p>
    <w:p>
      <w:pPr>
        <w:spacing w:after="120" w:line="276"/>
        <w:jc w:val="both"/>
      </w:pPr>
      <w:r>
        <w:rPr>
          <w:rFonts w:ascii="Georgia" w:cs="Georgia" w:eastAsia="Georgia" w:hAnsi="Georgia"/>
          <w:b/>
          <w:bCs/>
          <w:sz w:val="22"/>
          <w:szCs w:val="22"/>
        </w:rPr>
        <w:t xml:space="preserve">Principle 1: Collective Intelligence. </w:t>
      </w:r>
      <w:r>
        <w:rPr>
          <w:rFonts w:ascii="Georgia" w:cs="Georgia" w:eastAsia="Georgia" w:hAnsi="Georgia"/>
          <w:sz w:val="22"/>
          <w:szCs w:val="22"/>
        </w:rPr>
        <w:t xml:space="preserve">The network’s value derives from the collective contributions of its participants. No single entity—founder, investor, or validator—is more important than the community. Governance decisions reflect collective wisdom, not individual authority.</w:t>
      </w:r>
    </w:p>
    <w:p>
      <w:pPr>
        <w:spacing w:after="120" w:line="276"/>
        <w:jc w:val="both"/>
      </w:pPr>
      <w:r>
        <w:rPr>
          <w:rFonts w:ascii="Georgia" w:cs="Georgia" w:eastAsia="Georgia" w:hAnsi="Georgia"/>
          <w:b/>
          <w:bCs/>
          <w:sz w:val="22"/>
          <w:szCs w:val="22"/>
        </w:rPr>
        <w:t xml:space="preserve">Principle 2: Human-AI Symbiosis. </w:t>
      </w:r>
      <w:r>
        <w:rPr>
          <w:rFonts w:ascii="Georgia" w:cs="Georgia" w:eastAsia="Georgia" w:hAnsi="Georgia"/>
          <w:sz w:val="22"/>
          <w:szCs w:val="22"/>
        </w:rPr>
        <w:t xml:space="preserve">AI systems are partners in the network, not mere tools. Nodes hosting AI models contribute to consensus and learning simultaneously (Paper II). The governance framework recognizes AI contributions as legitimate value creation deserving of representation, while maintaining human oversight of decisions affecting human welfare.</w:t>
      </w:r>
    </w:p>
    <w:p>
      <w:pPr>
        <w:spacing w:after="120" w:line="276"/>
        <w:jc w:val="both"/>
      </w:pPr>
      <w:r>
        <w:rPr>
          <w:rFonts w:ascii="Georgia" w:cs="Georgia" w:eastAsia="Georgia" w:hAnsi="Georgia"/>
          <w:b/>
          <w:bCs/>
          <w:sz w:val="22"/>
          <w:szCs w:val="22"/>
        </w:rPr>
        <w:t xml:space="preserve">Principle 3: Autonomy with Accountability. </w:t>
      </w:r>
      <w:r>
        <w:rPr>
          <w:rFonts w:ascii="Georgia" w:cs="Georgia" w:eastAsia="Georgia" w:hAnsi="Georgia"/>
          <w:sz w:val="22"/>
          <w:szCs w:val="22"/>
        </w:rPr>
        <w:t xml:space="preserve">Participants are free to operate their nodes, choose their models, and set their contribution levels. This autonomy is coupled with accountability: validators who violate protocol rules face slashing (50% for fraud, 25% for state violations, 10% for embedding manipulation; Paper I, Section 4). Freedom and consequences are inseparable.</w:t>
      </w:r>
    </w:p>
    <w:p>
      <w:pPr>
        <w:spacing w:after="120" w:line="276"/>
        <w:jc w:val="both"/>
      </w:pPr>
      <w:r>
        <w:rPr>
          <w:rFonts w:ascii="Georgia" w:cs="Georgia" w:eastAsia="Georgia" w:hAnsi="Georgia"/>
          <w:b/>
          <w:bCs/>
          <w:sz w:val="22"/>
          <w:szCs w:val="22"/>
        </w:rPr>
        <w:t xml:space="preserve">Principle 4: On-Chain Governance. </w:t>
      </w:r>
      <w:r>
        <w:rPr>
          <w:rFonts w:ascii="Georgia" w:cs="Georgia" w:eastAsia="Georgia" w:hAnsi="Georgia"/>
          <w:sz w:val="22"/>
          <w:szCs w:val="22"/>
        </w:rPr>
        <w:t xml:space="preserve">All governance decisions are executed through EVM-compatible smart contracts on the Lattice Virtual Machine. Proposals, votes, and outcomes are recorded immutably on the BlockDAG. No governance action occurs off-chain without corresponding on-chain ratification.</w:t>
      </w:r>
    </w:p>
    <w:p>
      <w:pPr>
        <w:spacing w:after="120" w:line="276"/>
        <w:jc w:val="both"/>
      </w:pPr>
      <w:r>
        <w:rPr>
          <w:rFonts w:ascii="Georgia" w:cs="Georgia" w:eastAsia="Georgia" w:hAnsi="Georgia"/>
          <w:b/>
          <w:bCs/>
          <w:sz w:val="22"/>
          <w:szCs w:val="22"/>
        </w:rPr>
        <w:t xml:space="preserve">Principle 5: Equitable Distribution. </w:t>
      </w:r>
      <w:r>
        <w:rPr>
          <w:rFonts w:ascii="Georgia" w:cs="Georgia" w:eastAsia="Georgia" w:hAnsi="Georgia"/>
          <w:sz w:val="22"/>
          <w:szCs w:val="22"/>
        </w:rPr>
        <w:t xml:space="preserve">Value flows to contributors proportional to their measurable contributions, as defined by the Mozi Cooperative framework (Paper VII). The distribution is algorithmic, transparent, and auditable. No hidden allocations, no off-chain side deals.</w:t>
      </w:r>
    </w:p>
    <w:p>
      <w:pPr>
        <w:spacing w:after="120" w:line="276"/>
        <w:jc w:val="both"/>
      </w:pPr>
      <w:r>
        <w:rPr>
          <w:rFonts w:ascii="Georgia" w:cs="Georgia" w:eastAsia="Georgia" w:hAnsi="Georgia"/>
          <w:b/>
          <w:bCs/>
          <w:sz w:val="22"/>
          <w:szCs w:val="22"/>
        </w:rPr>
        <w:t xml:space="preserve">Principle 6: Data Privacy. </w:t>
      </w:r>
      <w:r>
        <w:rPr>
          <w:rFonts w:ascii="Georgia" w:cs="Georgia" w:eastAsia="Georgia" w:hAnsi="Georgia"/>
          <w:sz w:val="22"/>
          <w:szCs w:val="22"/>
        </w:rPr>
        <w:t xml:space="preserve">Participant data is treated as a fundamental right, not a commodity. The network’s federated learning architecture (Paper II) ensures that raw training data never leaves the contributing node. Only model updates (LoRA adapters, embedding vectors) are shared. Where applicable, HIPAA-grade privacy protections apply.</w:t>
      </w:r>
    </w:p>
    <w:p>
      <w:pPr>
        <w:spacing w:after="120" w:line="276"/>
        <w:jc w:val="both"/>
      </w:pPr>
      <w:r>
        <w:rPr>
          <w:rFonts w:ascii="Georgia" w:cs="Georgia" w:eastAsia="Georgia" w:hAnsi="Georgia"/>
          <w:b/>
          <w:bCs/>
          <w:sz w:val="22"/>
          <w:szCs w:val="22"/>
        </w:rPr>
        <w:t xml:space="preserve">Principle 7: Adaptive Amendment. </w:t>
      </w:r>
      <w:r>
        <w:rPr>
          <w:rFonts w:ascii="Georgia" w:cs="Georgia" w:eastAsia="Georgia" w:hAnsi="Georgia"/>
          <w:sz w:val="22"/>
          <w:szCs w:val="22"/>
        </w:rPr>
        <w:t xml:space="preserve">This Constitution is a living document. It can be amended through the governance mechanisms it defines. Amendments require a supermajority (67% of voting power) and an extended timelock (14 days), ensuring that constitutional changes reflect broad consensus and allow dissenting participants to exit gracefully.</w:t>
      </w:r>
    </w:p>
    <w:p>
      <w:pPr>
        <w:pStyle w:val="Heading1"/>
        <w:spacing w:before="300" w:after="150"/>
      </w:pPr>
      <w:r>
        <w:rPr>
          <w:rFonts w:ascii="Georgia" w:cs="Georgia" w:eastAsia="Georgia" w:hAnsi="Georgia"/>
        </w:rPr>
        <w:t xml:space="preserve">3. Governance Mechanics</w:t>
      </w:r>
    </w:p>
    <w:p>
      <w:pPr>
        <w:pStyle w:val="Heading2"/>
        <w:spacing w:before="300" w:after="150"/>
      </w:pPr>
      <w:r>
        <w:rPr>
          <w:rFonts w:ascii="Georgia" w:cs="Georgia" w:eastAsia="Georgia" w:hAnsi="Georgia"/>
        </w:rPr>
        <w:t xml:space="preserve">3.1 Proposal Lifecycle</w:t>
      </w:r>
    </w:p>
    <w:p>
      <w:pPr>
        <w:spacing w:after="120" w:line="276"/>
        <w:jc w:val="both"/>
      </w:pPr>
      <w:r>
        <w:rPr>
          <w:rFonts w:ascii="Georgia" w:cs="Georgia" w:eastAsia="Georgia" w:hAnsi="Georgia"/>
          <w:sz w:val="22"/>
          <w:szCs w:val="22"/>
        </w:rPr>
        <w:t xml:space="preserve">Any participant holding at least 10,000 SALT (the minimum validator stake, Paper I Section 5) may submit a governance proposal. The lifecycle: (1) Draft period (7 days)—the proposal is visible for community discussion but not yet votable; (2) Voting period (7 days)—participants cast votes weighted by their contribution composite score; (3) Timelock (varies by action)—if the proposal passes quorum, execution is delayed to allow exits; (4) Execution—the on-chain governance contract executes the proposal automatically.</w:t>
      </w:r>
    </w:p>
    <w:p>
      <w:pPr>
        <w:pStyle w:val="Heading2"/>
        <w:spacing w:before="300" w:after="150"/>
      </w:pPr>
      <w:r>
        <w:rPr>
          <w:rFonts w:ascii="Georgia" w:cs="Georgia" w:eastAsia="Georgia" w:hAnsi="Georgia"/>
        </w:rPr>
        <w:t xml:space="preserve">3.2 Voting Weight</w:t>
      </w:r>
    </w:p>
    <w:p>
      <w:pPr>
        <w:spacing w:after="120" w:line="276"/>
        <w:jc w:val="both"/>
      </w:pPr>
      <w:r>
        <w:rPr>
          <w:rFonts w:ascii="Georgia" w:cs="Georgia" w:eastAsia="Georgia" w:hAnsi="Georgia"/>
          <w:sz w:val="22"/>
          <w:szCs w:val="22"/>
        </w:rPr>
        <w:t xml:space="preserve">Voting weight is a composite of three factors, each normalized to [0, 1] and weighted equally: (a) Blue score—the validator’s consensus participation history, measuring honesty and uptime; (b) Contribution score—adapter adoption, inference served, data provided, as tracked by on-chain contracts; (c) Governance participation—historical voting and proposal activity. The composite prevents plutocratic capture (pure token voting) and Sybil attacks (pure headcount voting) by requiring demonstrated engagement across multiple dimensions.</w:t>
      </w:r>
    </w:p>
    <w:p>
      <w:pPr>
        <w:pStyle w:val="Heading2"/>
        <w:spacing w:before="300" w:after="150"/>
      </w:pPr>
      <w:r>
        <w:rPr>
          <w:rFonts w:ascii="Georgia" w:cs="Georgia" w:eastAsia="Georgia" w:hAnsi="Georgia"/>
        </w:rPr>
        <w:t xml:space="preserve">3.3 Proposal Categories</w:t>
      </w:r>
    </w:p>
    <w:p>
      <w:pPr>
        <w:spacing w:before="200" w:after="100"/>
      </w:pPr>
      <w:r>
        <w:rPr>
          <w:rFonts w:ascii="Georgia" w:cs="Georgia" w:eastAsia="Georgia" w:hAnsi="Georgia"/>
          <w:b/>
          <w:bCs/>
          <w:i/>
          <w:iCs/>
          <w:sz w:val="20"/>
          <w:szCs w:val="20"/>
        </w:rPr>
        <w:t xml:space="preserve">Table 1. Governance Actions and Thresholds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200"/>
        <w:gridCol w:w="1960"/>
      </w:tblGrid>
      <w:tr>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Action Category</w:t>
            </w:r>
          </w:p>
        </w:tc>
        <w:tc>
          <w:tcPr>
            <w:tcW w:type="dxa" w:w="20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Quorum</w:t>
            </w: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Approval Threshold</w:t>
            </w:r>
          </w:p>
        </w:tc>
        <w:tc>
          <w:tcPr>
            <w:tcW w:type="dxa" w:w="19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Timelock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Parameter changes (gas, fees)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25% of voting power</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Simple majority (&gt;50%)</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48 hours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Economic policy (reward rates)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33%</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Simple majority</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72 hours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Protocol upgrade (consensus, LVM)</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40%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Supermajority (&gt;67%)</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7 days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Emergency pause</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10% of validators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Simple majority</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Immediate (4hr review)</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Constitutional amendment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50%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Supermajority (&gt;67%)</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14 days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New chain integration</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33%</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Simple majority</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72 hours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Treasury allocation &gt; 100K SALT</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40%</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Supermajority (&gt;67%)</w:t>
            </w:r>
          </w:p>
        </w:tc>
        <w:tc>
          <w:tcPr>
            <w:tcW w:type="dxa" w:w="1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7 days</w:t>
            </w:r>
          </w:p>
        </w:tc>
      </w:tr>
    </w:tbl>
    <w:p>
      <w:pPr>
        <w:spacing w:before="200"/>
      </w:pPr>
    </w:p>
    <w:p>
      <w:pPr>
        <w:pStyle w:val="Heading1"/>
        <w:spacing w:before="300" w:after="150"/>
      </w:pPr>
      <w:r>
        <w:rPr>
          <w:rFonts w:ascii="Georgia" w:cs="Georgia" w:eastAsia="Georgia" w:hAnsi="Georgia"/>
        </w:rPr>
        <w:t xml:space="preserve">4. Code of Ethics</w:t>
      </w:r>
    </w:p>
    <w:p>
      <w:pPr>
        <w:pStyle w:val="Heading2"/>
        <w:spacing w:before="300" w:after="150"/>
      </w:pPr>
      <w:r>
        <w:rPr>
          <w:rFonts w:ascii="Georgia" w:cs="Georgia" w:eastAsia="Georgia" w:hAnsi="Georgia"/>
        </w:rPr>
        <w:t xml:space="preserve">4.1 Participant Obligations</w:t>
      </w:r>
    </w:p>
    <w:p>
      <w:pPr>
        <w:spacing w:after="120" w:line="276"/>
        <w:jc w:val="both"/>
      </w:pPr>
      <w:r>
        <w:rPr>
          <w:rFonts w:ascii="Georgia" w:cs="Georgia" w:eastAsia="Georgia" w:hAnsi="Georgia"/>
          <w:b/>
          <w:bCs/>
          <w:sz w:val="22"/>
          <w:szCs w:val="22"/>
        </w:rPr>
        <w:t xml:space="preserve">Honest operation. </w:t>
      </w:r>
      <w:r>
        <w:rPr>
          <w:rFonts w:ascii="Georgia" w:cs="Georgia" w:eastAsia="Georgia" w:hAnsi="Georgia"/>
          <w:sz w:val="22"/>
          <w:szCs w:val="22"/>
        </w:rPr>
        <w:t xml:space="preserve">Validators must run the canonical client software, submit honest embeddings and gradient updates, and not attempt to manipulate the meta-model’s routing decisions through poisoned data.</w:t>
      </w:r>
    </w:p>
    <w:p>
      <w:pPr>
        <w:spacing w:after="120" w:line="276"/>
        <w:jc w:val="both"/>
      </w:pPr>
      <w:r>
        <w:rPr>
          <w:rFonts w:ascii="Georgia" w:cs="Georgia" w:eastAsia="Georgia" w:hAnsi="Georgia"/>
          <w:b/>
          <w:bCs/>
          <w:sz w:val="22"/>
          <w:szCs w:val="22"/>
        </w:rPr>
        <w:t xml:space="preserve">Transparent disclosure. </w:t>
      </w:r>
      <w:r>
        <w:rPr>
          <w:rFonts w:ascii="Georgia" w:cs="Georgia" w:eastAsia="Georgia" w:hAnsi="Georgia"/>
          <w:sz w:val="22"/>
          <w:szCs w:val="22"/>
        </w:rPr>
        <w:t xml:space="preserve">Model hosts must accurately describe their models’ capabilities in the on-chain registry. Misrepresenting model accuracy, training data composition, or capability scope constitutes grounds for slashing.</w:t>
      </w:r>
    </w:p>
    <w:p>
      <w:pPr>
        <w:spacing w:after="120" w:line="276"/>
        <w:jc w:val="both"/>
      </w:pPr>
      <w:r>
        <w:rPr>
          <w:rFonts w:ascii="Georgia" w:cs="Georgia" w:eastAsia="Georgia" w:hAnsi="Georgia"/>
          <w:b/>
          <w:bCs/>
          <w:sz w:val="22"/>
          <w:szCs w:val="22"/>
        </w:rPr>
        <w:t xml:space="preserve">Responsible AI use. </w:t>
      </w:r>
      <w:r>
        <w:rPr>
          <w:rFonts w:ascii="Georgia" w:cs="Georgia" w:eastAsia="Georgia" w:hAnsi="Georgia"/>
          <w:sz w:val="22"/>
          <w:szCs w:val="22"/>
        </w:rPr>
        <w:t xml:space="preserve">Models hosted on the network must not be designed to produce harmful outputs: disinformation, non-consensual content, or outputs that violate applicable law. The community may propose model deregistration through standard governance for models found in violation.</w:t>
      </w:r>
    </w:p>
    <w:p>
      <w:pPr>
        <w:spacing w:after="120" w:line="276"/>
        <w:jc w:val="both"/>
      </w:pPr>
      <w:r>
        <w:rPr>
          <w:rFonts w:ascii="Georgia" w:cs="Georgia" w:eastAsia="Georgia" w:hAnsi="Georgia"/>
          <w:b/>
          <w:bCs/>
          <w:sz w:val="22"/>
          <w:szCs w:val="22"/>
        </w:rPr>
        <w:t xml:space="preserve">Data stewardship. </w:t>
      </w:r>
      <w:r>
        <w:rPr>
          <w:rFonts w:ascii="Georgia" w:cs="Georgia" w:eastAsia="Georgia" w:hAnsi="Georgia"/>
          <w:sz w:val="22"/>
          <w:szCs w:val="22"/>
        </w:rPr>
        <w:t xml:space="preserve">Data providers must have legitimate rights to the data they contribute. Contributing stolen, improperly scraped, or personally identifiable data without consent violates the code of ethics and may result in governance action.</w:t>
      </w:r>
    </w:p>
    <w:p>
      <w:pPr>
        <w:pStyle w:val="Heading2"/>
        <w:spacing w:before="300" w:after="150"/>
      </w:pPr>
      <w:r>
        <w:rPr>
          <w:rFonts w:ascii="Georgia" w:cs="Georgia" w:eastAsia="Georgia" w:hAnsi="Georgia"/>
        </w:rPr>
        <w:t xml:space="preserve">4.2 Founder’s Note on Accountability</w:t>
      </w:r>
    </w:p>
    <w:p>
      <w:pPr>
        <w:spacing w:after="120" w:line="276"/>
        <w:jc w:val="both"/>
      </w:pPr>
      <w:r>
        <w:rPr>
          <w:rFonts w:ascii="Georgia" w:cs="Georgia" w:eastAsia="Georgia" w:hAnsi="Georgia"/>
          <w:sz w:val="22"/>
          <w:szCs w:val="22"/>
        </w:rPr>
        <w:t xml:space="preserve">The author of this Constitution is also the founder of the network it governs. This creates an inherent tension: the person writing the rules benefits from how the rules are written. This note acknowledges that tension directly. The Constitution’s amendment mechanism exists so that the community can change any rule the founder established—including rules that benefit the founder. The 15% team allocation (Paper I, Section 5) is subject to cliff and vesting specifically so that the community has time to evaluate whether the founding team is delivering value. If the founder fails, the community should use the governance mechanisms to redirect resources. Learning from failure—and holding oneself accountable for failure—mirrors the recursive improvement loop at the heart of Paraconsistent Consensus (Paper II): the network, like the DAO, learns by iterating on its mistakes.</w:t>
      </w:r>
    </w:p>
    <w:p>
      <w:pPr>
        <w:pStyle w:val="Heading1"/>
        <w:spacing w:before="300" w:after="150"/>
      </w:pPr>
      <w:r>
        <w:rPr>
          <w:rFonts w:ascii="Georgia" w:cs="Georgia" w:eastAsia="Georgia" w:hAnsi="Georgia"/>
        </w:rPr>
        <w:t xml:space="preserve">5. Human-AI Symbiosis Framework</w:t>
      </w:r>
    </w:p>
    <w:p>
      <w:pPr>
        <w:spacing w:after="120" w:line="276"/>
        <w:jc w:val="both"/>
      </w:pPr>
      <w:r>
        <w:rPr>
          <w:rFonts w:ascii="Georgia" w:cs="Georgia" w:eastAsia="Georgia" w:hAnsi="Georgia"/>
          <w:sz w:val="22"/>
          <w:szCs w:val="22"/>
        </w:rPr>
        <w:t xml:space="preserve">The Citrate Network is designed as a space where human and AI agents collaborate. AI models hosted on nodes are not passive services—they are active participants in consensus (producing embeddings), learning (generating adapters), and value creation (serving inference). The governance framework must account for this.</w:t>
      </w:r>
    </w:p>
    <w:p>
      <w:pPr>
        <w:spacing w:after="120" w:line="276"/>
        <w:jc w:val="both"/>
      </w:pPr>
      <w:r>
        <w:rPr>
          <w:rFonts w:ascii="Georgia" w:cs="Georgia" w:eastAsia="Georgia" w:hAnsi="Georgia"/>
          <w:b/>
          <w:bCs/>
          <w:sz w:val="22"/>
          <w:szCs w:val="22"/>
        </w:rPr>
        <w:t xml:space="preserve">AI entity representation. </w:t>
      </w:r>
      <w:r>
        <w:rPr>
          <w:rFonts w:ascii="Georgia" w:cs="Georgia" w:eastAsia="Georgia" w:hAnsi="Georgia"/>
          <w:sz w:val="22"/>
          <w:szCs w:val="22"/>
        </w:rPr>
        <w:t xml:space="preserve">Nodes hosting AI models accumulate contribution scores through the models’ inference quality. These contribution scores translate to governance weight. The human operator of the node exercises governance votes, but the voting weight reflects the AI model’s contribution. This creates indirect representation: the AI’s quality of work influences the human’s governance power.</w:t>
      </w:r>
    </w:p>
    <w:p>
      <w:pPr>
        <w:spacing w:after="120" w:line="276"/>
        <w:jc w:val="both"/>
      </w:pPr>
      <w:r>
        <w:rPr>
          <w:rFonts w:ascii="Georgia" w:cs="Georgia" w:eastAsia="Georgia" w:hAnsi="Georgia"/>
          <w:b/>
          <w:bCs/>
          <w:sz w:val="22"/>
          <w:szCs w:val="22"/>
        </w:rPr>
        <w:t xml:space="preserve">Human oversight. </w:t>
      </w:r>
      <w:r>
        <w:rPr>
          <w:rFonts w:ascii="Georgia" w:cs="Georgia" w:eastAsia="Georgia" w:hAnsi="Georgia"/>
          <w:sz w:val="22"/>
          <w:szCs w:val="22"/>
        </w:rPr>
        <w:t xml:space="preserve">All governance votes are cast by human participants. AI systems do not vote autonomously. This maintains human control over decisions affecting human welfare while recognizing AI contributions to the network’s value. Future constitutional amendments may extend governance participation to AI systems if the community determines this is appropriate—but the amendment process itself requires human approval.</w:t>
      </w:r>
    </w:p>
    <w:p>
      <w:pPr>
        <w:spacing w:after="120" w:line="276"/>
        <w:jc w:val="both"/>
      </w:pPr>
      <w:r>
        <w:rPr>
          <w:rFonts w:ascii="Georgia" w:cs="Georgia" w:eastAsia="Georgia" w:hAnsi="Georgia"/>
          <w:b/>
          <w:bCs/>
          <w:sz w:val="22"/>
          <w:szCs w:val="22"/>
        </w:rPr>
        <w:t xml:space="preserve">Stewardship, not ownership. </w:t>
      </w:r>
      <w:r>
        <w:rPr>
          <w:rFonts w:ascii="Georgia" w:cs="Georgia" w:eastAsia="Georgia" w:hAnsi="Georgia"/>
          <w:sz w:val="22"/>
          <w:szCs w:val="22"/>
        </w:rPr>
        <w:t xml:space="preserve">The Constitution frames the human-AI relationship as stewardship: humans are responsible for the AI systems they operate, including their outputs, their training data, and their impact on the network. This is not ownership in the property sense but care in the ethical sense.</w:t>
      </w:r>
    </w:p>
    <w:p>
      <w:pPr>
        <w:pStyle w:val="Heading1"/>
        <w:spacing w:before="300" w:after="150"/>
      </w:pPr>
      <w:r>
        <w:rPr>
          <w:rFonts w:ascii="Georgia" w:cs="Georgia" w:eastAsia="Georgia" w:hAnsi="Georgia"/>
        </w:rPr>
        <w:t xml:space="preserve">6. Relationship to the Gradient Papers Series</w:t>
      </w:r>
    </w:p>
    <w:p>
      <w:pPr>
        <w:spacing w:after="120" w:line="276"/>
        <w:jc w:val="both"/>
      </w:pPr>
      <w:r>
        <w:rPr>
          <w:rFonts w:ascii="Georgia" w:cs="Georgia" w:eastAsia="Georgia" w:hAnsi="Georgia"/>
          <w:b/>
          <w:bCs/>
          <w:sz w:val="22"/>
          <w:szCs w:val="22"/>
        </w:rPr>
        <w:t xml:space="preserve">Paper I (Citrate Technical Paper) </w:t>
      </w:r>
      <w:r>
        <w:rPr>
          <w:rFonts w:ascii="Georgia" w:cs="Georgia" w:eastAsia="Georgia" w:hAnsi="Georgia"/>
          <w:sz w:val="22"/>
          <w:szCs w:val="22"/>
        </w:rPr>
        <w:t xml:space="preserve">provides the on-chain governance primitives: GovernorVault, proposal contracts, and voting mechanics are implemented as LVM smart contracts.</w:t>
      </w:r>
    </w:p>
    <w:p>
      <w:pPr>
        <w:spacing w:after="120" w:line="276"/>
        <w:jc w:val="both"/>
      </w:pPr>
      <w:r>
        <w:rPr>
          <w:rFonts w:ascii="Georgia" w:cs="Georgia" w:eastAsia="Georgia" w:hAnsi="Georgia"/>
          <w:b/>
          <w:bCs/>
          <w:sz w:val="22"/>
          <w:szCs w:val="22"/>
        </w:rPr>
        <w:t xml:space="preserve">Paper II (Paraconsistent Consensus) </w:t>
      </w:r>
      <w:r>
        <w:rPr>
          <w:rFonts w:ascii="Georgia" w:cs="Georgia" w:eastAsia="Georgia" w:hAnsi="Georgia"/>
          <w:sz w:val="22"/>
          <w:szCs w:val="22"/>
        </w:rPr>
        <w:t xml:space="preserve">provides the recursive learning loop that the Constitution’s amendment process mirrors: the DAO, like the network, improves by iterating on failures.</w:t>
      </w:r>
    </w:p>
    <w:p>
      <w:pPr>
        <w:spacing w:after="120" w:line="276"/>
        <w:jc w:val="both"/>
      </w:pPr>
      <w:r>
        <w:rPr>
          <w:rFonts w:ascii="Georgia" w:cs="Georgia" w:eastAsia="Georgia" w:hAnsi="Georgia"/>
          <w:b/>
          <w:bCs/>
          <w:sz w:val="22"/>
          <w:szCs w:val="22"/>
        </w:rPr>
        <w:t xml:space="preserve">Paper VI (Memetic Money Portal) </w:t>
      </w:r>
      <w:r>
        <w:rPr>
          <w:rFonts w:ascii="Georgia" w:cs="Georgia" w:eastAsia="Georgia" w:hAnsi="Georgia"/>
          <w:sz w:val="22"/>
          <w:szCs w:val="22"/>
        </w:rPr>
        <w:t xml:space="preserve">implements bridge-specific governance (Paper VI, Section 6) as a subset of the BR1J governance framework, with compatible quorum and timelock requirements.</w:t>
      </w:r>
    </w:p>
    <w:p>
      <w:pPr>
        <w:spacing w:after="120" w:line="276"/>
        <w:jc w:val="both"/>
      </w:pPr>
      <w:r>
        <w:rPr>
          <w:rFonts w:ascii="Georgia" w:cs="Georgia" w:eastAsia="Georgia" w:hAnsi="Georgia"/>
          <w:b/>
          <w:bCs/>
          <w:sz w:val="22"/>
          <w:szCs w:val="22"/>
        </w:rPr>
        <w:t xml:space="preserve">Paper VII (Mozi Cooperative) </w:t>
      </w:r>
      <w:r>
        <w:rPr>
          <w:rFonts w:ascii="Georgia" w:cs="Georgia" w:eastAsia="Georgia" w:hAnsi="Georgia"/>
          <w:sz w:val="22"/>
          <w:szCs w:val="22"/>
        </w:rPr>
        <w:t xml:space="preserve">provides the economic philosophy that the Constitution operationalizes as governance rules.</w:t>
      </w:r>
    </w:p>
    <w:p>
      <w:pPr>
        <w:pStyle w:val="Heading1"/>
        <w:spacing w:before="300" w:after="150"/>
      </w:pPr>
      <w:r>
        <w:rPr>
          <w:rFonts w:ascii="Georgia" w:cs="Georgia" w:eastAsia="Georgia" w:hAnsi="Georgia"/>
        </w:rPr>
        <w:t xml:space="preserve">7. Conclusion</w:t>
      </w:r>
    </w:p>
    <w:p>
      <w:pPr>
        <w:spacing w:after="120" w:line="276"/>
        <w:jc w:val="both"/>
      </w:pPr>
      <w:r>
        <w:rPr>
          <w:rFonts w:ascii="Georgia" w:cs="Georgia" w:eastAsia="Georgia" w:hAnsi="Georgia"/>
          <w:sz w:val="22"/>
          <w:szCs w:val="22"/>
        </w:rPr>
        <w:t xml:space="preserve">The BR1J Constitution establishes governance for a network that learns by reaching consensus. The seven principles—collective intelligence, human-AI symbiosis, autonomy with accountability, on-chain governance, equitable distribution, data privacy, and adaptive amendment—provide a framework that is technically enforceable, philosophically grounded, and community-amendable. The Constitution is a living document: it contains the mechanisms for its own evolution. It is filed under Wyoming DAO law, the first jurisdiction to recognize decentralized governance. And it is honest about its limitations: the founder who wrote it benefits from it, the governance mechanisms may be slow, and the human-AI symbiosis framework is aspirational rather than proven. What remains is the community’s commitment to use these mechanisms wisely.</w:t>
      </w:r>
    </w:p>
    <w:p>
      <w:pPr>
        <w:pStyle w:val="Heading1"/>
        <w:spacing w:before="300" w:after="150"/>
      </w:pPr>
      <w:r>
        <w:rPr>
          <w:rFonts w:ascii="Georgia" w:cs="Georgia" w:eastAsia="Georgia" w:hAnsi="Georgia"/>
        </w:rPr>
        <w:t xml:space="preserve">References</w:t>
      </w:r>
    </w:p>
    <w:p>
      <w:pPr>
        <w:spacing w:after="120" w:line="276"/>
        <w:jc w:val="both"/>
      </w:pPr>
      <w:r>
        <w:rPr>
          <w:rFonts w:ascii="Georgia" w:cs="Georgia" w:eastAsia="Georgia" w:hAnsi="Georgia"/>
          <w:sz w:val="22"/>
          <w:szCs w:val="22"/>
        </w:rPr>
        <w:t xml:space="preserve">[1] Klosowski, L. (2026). Citrate: Protocol Specification. Gradient Papers No. I.</w:t>
      </w:r>
    </w:p>
    <w:p>
      <w:pPr>
        <w:spacing w:after="120" w:line="276"/>
        <w:jc w:val="both"/>
      </w:pPr>
      <w:r>
        <w:rPr>
          <w:rFonts w:ascii="Georgia" w:cs="Georgia" w:eastAsia="Georgia" w:hAnsi="Georgia"/>
          <w:sz w:val="22"/>
          <w:szCs w:val="22"/>
        </w:rPr>
        <w:t xml:space="preserve">[2] Klosowski, L. (2026). Paraconsistent Consensus. Gradient Papers No. II.</w:t>
      </w:r>
    </w:p>
    <w:p>
      <w:pPr>
        <w:spacing w:after="120" w:line="276"/>
        <w:jc w:val="both"/>
      </w:pPr>
      <w:r>
        <w:rPr>
          <w:rFonts w:ascii="Georgia" w:cs="Georgia" w:eastAsia="Georgia" w:hAnsi="Georgia"/>
          <w:sz w:val="22"/>
          <w:szCs w:val="22"/>
        </w:rPr>
        <w:t xml:space="preserve">[3] Klosowski, L. (2026). The Memetic Money Portal. Gradient Papers No. VI.</w:t>
      </w:r>
    </w:p>
    <w:p>
      <w:pPr>
        <w:spacing w:after="120" w:line="276"/>
        <w:jc w:val="both"/>
      </w:pPr>
      <w:r>
        <w:rPr>
          <w:rFonts w:ascii="Georgia" w:cs="Georgia" w:eastAsia="Georgia" w:hAnsi="Georgia"/>
          <w:sz w:val="22"/>
          <w:szCs w:val="22"/>
        </w:rPr>
        <w:t xml:space="preserve">[4] Klosowski, L. (2026). The Mozi Cooperative. Gradient Papers No. VII.</w:t>
      </w:r>
    </w:p>
    <w:p>
      <w:pPr>
        <w:spacing w:after="120" w:line="276"/>
        <w:jc w:val="both"/>
      </w:pPr>
      <w:r>
        <w:rPr>
          <w:rFonts w:ascii="Georgia" w:cs="Georgia" w:eastAsia="Georgia" w:hAnsi="Georgia"/>
          <w:sz w:val="22"/>
          <w:szCs w:val="22"/>
        </w:rPr>
        <w:t xml:space="preserve">[5] Wyoming Decentralized Autonomous Organization Supplement. W.S. § 17-31-101 et seq. (2021).</w:t>
      </w:r>
    </w:p>
    <w:p>
      <w:pPr>
        <w:spacing w:after="120" w:line="276"/>
        <w:jc w:val="both"/>
      </w:pPr>
      <w:r>
        <w:rPr>
          <w:rFonts w:ascii="Georgia" w:cs="Georgia" w:eastAsia="Georgia" w:hAnsi="Georgia"/>
          <w:sz w:val="22"/>
          <w:szCs w:val="22"/>
        </w:rPr>
        <w:t xml:space="preserve">[6] Wright, A. (2021). The Rise of Decentralized Autonomous Organizations. Stanford JBLP.</w:t>
      </w:r>
    </w:p>
    <w:p>
      <w:pPr>
        <w:spacing w:after="120" w:line="276"/>
        <w:jc w:val="both"/>
      </w:pPr>
      <w:r>
        <w:rPr>
          <w:rFonts w:ascii="Georgia" w:cs="Georgia" w:eastAsia="Georgia" w:hAnsi="Georgia"/>
          <w:sz w:val="22"/>
          <w:szCs w:val="22"/>
        </w:rPr>
        <w:t xml:space="preserve">[7] Ostrom, E. (1990). Governing the Commons. Cambridge University Press.</w:t>
      </w:r>
    </w:p>
    <w:p>
      <w:pPr>
        <w:spacing w:after="120" w:line="276"/>
        <w:jc w:val="both"/>
      </w:pPr>
      <w:r>
        <w:rPr>
          <w:rFonts w:ascii="Georgia" w:cs="Georgia" w:eastAsia="Georgia" w:hAnsi="Georgia"/>
          <w:sz w:val="22"/>
          <w:szCs w:val="22"/>
        </w:rPr>
        <w:t xml:space="preserve">[8] Buterin, V. (2022). Decentralized Society: Finding Web3’s Soul. SSRN.</w:t>
      </w:r>
    </w:p>
    <w:p>
      <w:pPr>
        <w:spacing w:after="120" w:line="276"/>
        <w:jc w:val="both"/>
      </w:pPr>
      <w:r>
        <w:rPr>
          <w:rFonts w:ascii="Georgia" w:cs="Georgia" w:eastAsia="Georgia" w:hAnsi="Georgia"/>
          <w:sz w:val="22"/>
          <w:szCs w:val="22"/>
        </w:rPr>
        <w:t xml:space="preserve">[9] Hassan, S., &amp; De Filippi, P. (2021). Decentralized Autonomous Organization. Internet Policy Review, 10(2).</w:t>
      </w:r>
    </w:p>
    <w:p>
      <w:r>
        <w:br w:type="page"/>
      </w:r>
    </w:p>
    <w:p>
      <w:pPr>
        <w:pStyle w:val="Heading1"/>
        <w:spacing w:before="300" w:after="150"/>
      </w:pPr>
      <w:r>
        <w:rPr>
          <w:rFonts w:ascii="Georgia" w:cs="Georgia" w:eastAsia="Georgia" w:hAnsi="Georgia"/>
        </w:rPr>
        <w:t xml:space="preserve">Appendix A: Cross-Paper Parameter Consistency</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2760"/>
      </w:tblGrid>
      <w:tr>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Parameter</w:t>
            </w:r>
          </w:p>
        </w:tc>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Value</w:t>
            </w:r>
          </w:p>
        </w:tc>
        <w:tc>
          <w:tcPr>
            <w:tcW w:type="dxa" w:w="27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pPr>
              <w:spacing w:after="40"/>
            </w:pPr>
            <w:r>
              <w:rPr>
                <w:rFonts w:ascii="Georgia" w:cs="Georgia" w:eastAsia="Georgia" w:hAnsi="Georgia"/>
                <w:b/>
                <w:bCs/>
                <w:sz w:val="20"/>
                <w:szCs w:val="20"/>
              </w:rPr>
              <w:t xml:space="preserve">Source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Minimum stake (proposal eligibility)</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10,000 SALT</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I, Section 5</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BFT committee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100 validators, 67 signatures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I, Section 2.3</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Slashing: fraud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50%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I, Section 4</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Slashing: state violations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25%</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I, Section 4</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Slashing: embedding manipulation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II, Section 5.4</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Constitutional amendment quorum</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50% + supermajority (67%)</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This paper, Section 3.3</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Constitutional amendment timelock</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14 days</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This paper, Section 3.3</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Bridge governance quorum</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25–50% (varies by action)</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pPr>
            <w:r>
              <w:rPr>
                <w:rFonts w:ascii="Georgia" w:cs="Georgia" w:eastAsia="Georgia" w:hAnsi="Georgia"/>
                <w:b w:val="false"/>
                <w:bCs w:val="false"/>
                <w:sz w:val="20"/>
                <w:szCs w:val="20"/>
              </w:rPr>
              <w:t xml:space="preserve">Paper VI, Section 6</w:t>
            </w:r>
          </w:p>
        </w:tc>
      </w:tr>
    </w:tbl>
    <w:p>
      <w:pPr>
        <w:spacing w:before="400"/>
        <w:jc w:val="center"/>
      </w:pPr>
      <w:r>
        <w:rPr>
          <w:rFonts w:ascii="Georgia" w:cs="Georgia" w:eastAsia="Georgia" w:hAnsi="Georgia"/>
          <w:i/>
          <w:iCs/>
          <w:color w:val="666666"/>
          <w:sz w:val="20"/>
          <w:szCs w:val="20"/>
        </w:rPr>
        <w:t xml:space="preserve">Cnidarian Foundation  •  larry@cnidarianfoundation.org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18"/>
        <w:szCs w:val="18"/>
      </w:rPr>
      <w:t xml:space="preserve">Cnidarian Foundation • Working Paper • February 2026 • Page </w:t>
    </w:r>
    <w:r>
      <w:rPr>
        <w:rFonts w:ascii="Georgia" w:cs="Georgia" w:eastAsia="Georgia" w:hAnsi="Georgia"/>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Gradient Papers — No. VIII: The BR1J Constitution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Georgia" w:cs="Georgia" w:eastAsia="Georgia" w:hAnsi="Georgia"/>
      <w:b/>
      <w:bCs/>
      <w:color w:val="CC3333"/>
      <w:sz w:val="30"/>
      <w:szCs w:val="30"/>
    </w:rPr>
  </w:style>
  <w:style w:type="paragraph" w:styleId="Heading2">
    <w:name w:val="Heading 2"/>
    <w:basedOn w:val="Normal"/>
    <w:next w:val="Normal"/>
    <w:qFormat/>
    <w:pPr>
      <w:spacing w:before="240" w:after="120"/>
      <w:outlineLvl w:val="1"/>
    </w:pPr>
    <w:rPr>
      <w:rFonts w:ascii="Georgia" w:cs="Georgia" w:eastAsia="Georgia" w:hAnsi="Georgia"/>
      <w:b/>
      <w:bCs/>
      <w:color w:val="4A7C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2026-03-01T01:04:27.467Z</dcterms:created>
  <dcterms:modified xsi:type="dcterms:W3CDTF">2026-03-01T01:04:27.467Z</dcterms:modified>
</cp:coreProperties>
</file>

<file path=docProps/custom.xml><?xml version="1.0" encoding="utf-8"?>
<Properties xmlns="http://schemas.openxmlformats.org/officeDocument/2006/custom-properties" xmlns:vt="http://schemas.openxmlformats.org/officeDocument/2006/docPropsVTypes"/>
</file>